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64F8" w:rsidRPr="001164F8" w:rsidRDefault="00571645" w:rsidP="001164F8">
      <w:pPr>
        <w:shd w:val="clear" w:color="auto" w:fill="FFFFFF"/>
        <w:spacing w:after="300" w:line="240" w:lineRule="auto"/>
        <w:outlineLvl w:val="2"/>
        <w:rPr>
          <w:rFonts w:ascii="Arial" w:eastAsia="Times New Roman" w:hAnsi="Arial" w:cs="Arial"/>
          <w:b/>
          <w:bCs/>
          <w:color w:val="0B0C0C"/>
          <w:sz w:val="27"/>
          <w:szCs w:val="27"/>
          <w:lang w:eastAsia="en-GB"/>
        </w:rPr>
      </w:pPr>
      <w:r>
        <w:rPr>
          <w:rFonts w:ascii="Arial" w:eastAsia="Times New Roman" w:hAnsi="Arial" w:cs="Arial"/>
          <w:b/>
          <w:bCs/>
          <w:color w:val="0B0C0C"/>
          <w:sz w:val="27"/>
          <w:szCs w:val="27"/>
          <w:lang w:eastAsia="en-GB"/>
        </w:rPr>
        <w:t>All pupils’ performance (Data taken from IDSR 2025)</w:t>
      </w:r>
      <w:bookmarkStart w:id="0" w:name="_GoBack"/>
      <w:bookmarkEnd w:id="0"/>
    </w:p>
    <w:p w:rsidR="001164F8" w:rsidRPr="001164F8" w:rsidRDefault="001164F8" w:rsidP="001164F8">
      <w:pPr>
        <w:shd w:val="clear" w:color="auto" w:fill="FFFFFF"/>
        <w:spacing w:after="300" w:line="240" w:lineRule="auto"/>
        <w:outlineLvl w:val="2"/>
        <w:rPr>
          <w:rFonts w:ascii="Arial" w:eastAsia="Times New Roman" w:hAnsi="Arial" w:cs="Arial"/>
          <w:b/>
          <w:bCs/>
          <w:color w:val="0B0C0C"/>
          <w:sz w:val="27"/>
          <w:szCs w:val="27"/>
          <w:lang w:eastAsia="en-GB"/>
        </w:rPr>
      </w:pPr>
      <w:r w:rsidRPr="001164F8">
        <w:rPr>
          <w:rFonts w:ascii="Arial" w:eastAsia="Times New Roman" w:hAnsi="Arial" w:cs="Arial"/>
          <w:b/>
          <w:bCs/>
          <w:color w:val="0B0C0C"/>
          <w:sz w:val="27"/>
          <w:szCs w:val="27"/>
          <w:lang w:eastAsia="en-GB"/>
        </w:rPr>
        <w:t>Pupils reaching the expected standard in reading, writing and maths</w:t>
      </w:r>
      <w:r w:rsidR="00571645">
        <w:rPr>
          <w:rFonts w:ascii="Arial" w:eastAsia="Times New Roman" w:hAnsi="Arial" w:cs="Arial"/>
          <w:b/>
          <w:bCs/>
          <w:color w:val="0B0C0C"/>
          <w:sz w:val="27"/>
          <w:szCs w:val="27"/>
          <w:lang w:eastAsia="en-GB"/>
        </w:rPr>
        <w:t xml:space="preserve"> – </w:t>
      </w:r>
      <w:proofErr w:type="gramStart"/>
      <w:r w:rsidR="00571645">
        <w:rPr>
          <w:rFonts w:ascii="Arial" w:eastAsia="Times New Roman" w:hAnsi="Arial" w:cs="Arial"/>
          <w:b/>
          <w:bCs/>
          <w:color w:val="0B0C0C"/>
          <w:sz w:val="27"/>
          <w:szCs w:val="27"/>
          <w:lang w:eastAsia="en-GB"/>
        </w:rPr>
        <w:t>3 year</w:t>
      </w:r>
      <w:proofErr w:type="gramEnd"/>
      <w:r w:rsidR="00571645">
        <w:rPr>
          <w:rFonts w:ascii="Arial" w:eastAsia="Times New Roman" w:hAnsi="Arial" w:cs="Arial"/>
          <w:b/>
          <w:bCs/>
          <w:color w:val="0B0C0C"/>
          <w:sz w:val="27"/>
          <w:szCs w:val="27"/>
          <w:lang w:eastAsia="en-GB"/>
        </w:rPr>
        <w:t xml:space="preserve"> trend</w:t>
      </w:r>
    </w:p>
    <w:tbl>
      <w:tblPr>
        <w:tblW w:w="1377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49"/>
        <w:gridCol w:w="2000"/>
        <w:gridCol w:w="2860"/>
        <w:gridCol w:w="5461"/>
      </w:tblGrid>
      <w:tr w:rsidR="001164F8" w:rsidRPr="001164F8" w:rsidTr="001164F8">
        <w:trPr>
          <w:tblHeader/>
        </w:trPr>
        <w:tc>
          <w:tcPr>
            <w:tcW w:w="0" w:type="auto"/>
            <w:vAlign w:val="center"/>
            <w:hideMark/>
          </w:tcPr>
          <w:p w:rsidR="001164F8" w:rsidRPr="001164F8" w:rsidRDefault="001164F8" w:rsidP="001164F8">
            <w:pPr>
              <w:spacing w:after="450" w:line="240" w:lineRule="auto"/>
              <w:rPr>
                <w:rFonts w:ascii="Arial" w:eastAsia="Times New Roman" w:hAnsi="Arial" w:cs="Arial"/>
                <w:b/>
                <w:bCs/>
                <w:color w:val="0B0C0C"/>
                <w:sz w:val="24"/>
                <w:szCs w:val="24"/>
                <w:lang w:eastAsia="en-GB"/>
              </w:rPr>
            </w:pPr>
            <w:r w:rsidRPr="001164F8">
              <w:rPr>
                <w:rFonts w:ascii="Arial" w:eastAsia="Times New Roman" w:hAnsi="Arial" w:cs="Arial"/>
                <w:b/>
                <w:bCs/>
                <w:color w:val="0B0C0C"/>
                <w:sz w:val="24"/>
                <w:szCs w:val="24"/>
                <w:lang w:eastAsia="en-GB"/>
              </w:rPr>
              <w:t>Year</w:t>
            </w:r>
          </w:p>
        </w:tc>
        <w:tc>
          <w:tcPr>
            <w:tcW w:w="0" w:type="auto"/>
            <w:vAlign w:val="center"/>
            <w:hideMark/>
          </w:tcPr>
          <w:p w:rsidR="001164F8" w:rsidRPr="001164F8" w:rsidRDefault="001164F8" w:rsidP="001164F8">
            <w:pPr>
              <w:spacing w:after="450" w:line="240" w:lineRule="auto"/>
              <w:rPr>
                <w:rFonts w:ascii="Arial" w:eastAsia="Times New Roman" w:hAnsi="Arial" w:cs="Arial"/>
                <w:b/>
                <w:bCs/>
                <w:color w:val="0B0C0C"/>
                <w:sz w:val="24"/>
                <w:szCs w:val="24"/>
                <w:lang w:eastAsia="en-GB"/>
              </w:rPr>
            </w:pPr>
            <w:r w:rsidRPr="001164F8">
              <w:rPr>
                <w:rFonts w:ascii="Arial" w:eastAsia="Times New Roman" w:hAnsi="Arial" w:cs="Arial"/>
                <w:b/>
                <w:bCs/>
                <w:color w:val="0B0C0C"/>
                <w:sz w:val="24"/>
                <w:szCs w:val="24"/>
                <w:lang w:eastAsia="en-GB"/>
              </w:rPr>
              <w:t>This school</w:t>
            </w:r>
          </w:p>
        </w:tc>
        <w:tc>
          <w:tcPr>
            <w:tcW w:w="0" w:type="auto"/>
            <w:vAlign w:val="center"/>
            <w:hideMark/>
          </w:tcPr>
          <w:p w:rsidR="001164F8" w:rsidRPr="001164F8" w:rsidRDefault="001164F8" w:rsidP="001164F8">
            <w:pPr>
              <w:spacing w:after="450" w:line="240" w:lineRule="auto"/>
              <w:rPr>
                <w:rFonts w:ascii="Arial" w:eastAsia="Times New Roman" w:hAnsi="Arial" w:cs="Arial"/>
                <w:b/>
                <w:bCs/>
                <w:color w:val="0B0C0C"/>
                <w:sz w:val="24"/>
                <w:szCs w:val="24"/>
                <w:lang w:eastAsia="en-GB"/>
              </w:rPr>
            </w:pPr>
            <w:r w:rsidRPr="001164F8">
              <w:rPr>
                <w:rFonts w:ascii="Arial" w:eastAsia="Times New Roman" w:hAnsi="Arial" w:cs="Arial"/>
                <w:b/>
                <w:bCs/>
                <w:color w:val="0B0C0C"/>
                <w:sz w:val="24"/>
                <w:szCs w:val="24"/>
                <w:lang w:eastAsia="en-GB"/>
              </w:rPr>
              <w:t>National average</w:t>
            </w:r>
          </w:p>
        </w:tc>
        <w:tc>
          <w:tcPr>
            <w:tcW w:w="0" w:type="auto"/>
            <w:vAlign w:val="center"/>
            <w:hideMark/>
          </w:tcPr>
          <w:p w:rsidR="001164F8" w:rsidRPr="001164F8" w:rsidRDefault="001164F8" w:rsidP="001164F8">
            <w:pPr>
              <w:spacing w:after="450" w:line="240" w:lineRule="auto"/>
              <w:rPr>
                <w:rFonts w:ascii="Arial" w:eastAsia="Times New Roman" w:hAnsi="Arial" w:cs="Arial"/>
                <w:b/>
                <w:bCs/>
                <w:color w:val="0B0C0C"/>
                <w:sz w:val="24"/>
                <w:szCs w:val="24"/>
                <w:lang w:eastAsia="en-GB"/>
              </w:rPr>
            </w:pPr>
            <w:r w:rsidRPr="001164F8">
              <w:rPr>
                <w:rFonts w:ascii="Arial" w:eastAsia="Times New Roman" w:hAnsi="Arial" w:cs="Arial"/>
                <w:b/>
                <w:bCs/>
                <w:color w:val="0B0C0C"/>
                <w:sz w:val="24"/>
                <w:szCs w:val="24"/>
                <w:lang w:eastAsia="en-GB"/>
              </w:rPr>
              <w:t>Compared with national average</w:t>
            </w:r>
          </w:p>
        </w:tc>
      </w:tr>
      <w:tr w:rsidR="001164F8" w:rsidRPr="001164F8" w:rsidTr="001164F8">
        <w:tc>
          <w:tcPr>
            <w:tcW w:w="0" w:type="auto"/>
            <w:vAlign w:val="center"/>
            <w:hideMark/>
          </w:tcPr>
          <w:p w:rsidR="001164F8" w:rsidRPr="001164F8" w:rsidRDefault="001164F8" w:rsidP="001164F8">
            <w:pPr>
              <w:spacing w:after="450" w:line="240" w:lineRule="auto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  <w:r w:rsidRPr="001164F8"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>Latest 3 year average</w:t>
            </w:r>
          </w:p>
        </w:tc>
        <w:tc>
          <w:tcPr>
            <w:tcW w:w="0" w:type="auto"/>
            <w:vAlign w:val="center"/>
            <w:hideMark/>
          </w:tcPr>
          <w:p w:rsidR="001164F8" w:rsidRPr="001164F8" w:rsidRDefault="001164F8" w:rsidP="001164F8">
            <w:pPr>
              <w:spacing w:after="450" w:line="240" w:lineRule="auto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>98%</w:t>
            </w:r>
          </w:p>
        </w:tc>
        <w:tc>
          <w:tcPr>
            <w:tcW w:w="0" w:type="auto"/>
            <w:vAlign w:val="center"/>
            <w:hideMark/>
          </w:tcPr>
          <w:p w:rsidR="001164F8" w:rsidRPr="001164F8" w:rsidRDefault="001164F8" w:rsidP="001164F8">
            <w:pPr>
              <w:spacing w:after="450" w:line="240" w:lineRule="auto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>61%</w:t>
            </w:r>
          </w:p>
        </w:tc>
        <w:tc>
          <w:tcPr>
            <w:tcW w:w="0" w:type="auto"/>
            <w:vAlign w:val="center"/>
            <w:hideMark/>
          </w:tcPr>
          <w:p w:rsidR="001164F8" w:rsidRPr="001164F8" w:rsidRDefault="001164F8" w:rsidP="001164F8">
            <w:pPr>
              <w:spacing w:after="450" w:line="240" w:lineRule="auto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>Above</w:t>
            </w:r>
            <w:r w:rsidR="00571645"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 xml:space="preserve"> (+37%)</w:t>
            </w:r>
          </w:p>
        </w:tc>
      </w:tr>
      <w:tr w:rsidR="001164F8" w:rsidRPr="001164F8" w:rsidTr="001164F8">
        <w:tc>
          <w:tcPr>
            <w:tcW w:w="0" w:type="auto"/>
            <w:vAlign w:val="center"/>
            <w:hideMark/>
          </w:tcPr>
          <w:p w:rsidR="001164F8" w:rsidRPr="001164F8" w:rsidRDefault="001164F8" w:rsidP="001164F8">
            <w:pPr>
              <w:spacing w:after="450" w:line="240" w:lineRule="auto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  <w:r w:rsidRPr="001164F8"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>2024/25</w:t>
            </w:r>
          </w:p>
        </w:tc>
        <w:tc>
          <w:tcPr>
            <w:tcW w:w="0" w:type="auto"/>
            <w:vAlign w:val="center"/>
            <w:hideMark/>
          </w:tcPr>
          <w:p w:rsidR="001164F8" w:rsidRPr="001164F8" w:rsidRDefault="001164F8" w:rsidP="001164F8">
            <w:pPr>
              <w:spacing w:after="450" w:line="240" w:lineRule="auto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>100%</w:t>
            </w:r>
          </w:p>
        </w:tc>
        <w:tc>
          <w:tcPr>
            <w:tcW w:w="0" w:type="auto"/>
            <w:vAlign w:val="center"/>
            <w:hideMark/>
          </w:tcPr>
          <w:p w:rsidR="001164F8" w:rsidRPr="001164F8" w:rsidRDefault="001164F8" w:rsidP="001164F8">
            <w:pPr>
              <w:spacing w:after="450" w:line="240" w:lineRule="auto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>62%</w:t>
            </w:r>
          </w:p>
        </w:tc>
        <w:tc>
          <w:tcPr>
            <w:tcW w:w="0" w:type="auto"/>
            <w:vAlign w:val="center"/>
            <w:hideMark/>
          </w:tcPr>
          <w:p w:rsidR="001164F8" w:rsidRPr="001164F8" w:rsidRDefault="001164F8" w:rsidP="001164F8">
            <w:pPr>
              <w:spacing w:after="450" w:line="240" w:lineRule="auto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>Above</w:t>
            </w:r>
            <w:r w:rsidR="00571645"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 xml:space="preserve"> (+38%)</w:t>
            </w:r>
          </w:p>
        </w:tc>
      </w:tr>
      <w:tr w:rsidR="001164F8" w:rsidRPr="001164F8" w:rsidTr="001164F8">
        <w:tc>
          <w:tcPr>
            <w:tcW w:w="0" w:type="auto"/>
            <w:vAlign w:val="center"/>
            <w:hideMark/>
          </w:tcPr>
          <w:p w:rsidR="001164F8" w:rsidRPr="001164F8" w:rsidRDefault="001164F8" w:rsidP="001164F8">
            <w:pPr>
              <w:spacing w:after="450" w:line="240" w:lineRule="auto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  <w:r w:rsidRPr="001164F8"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>2023/24</w:t>
            </w:r>
          </w:p>
        </w:tc>
        <w:tc>
          <w:tcPr>
            <w:tcW w:w="0" w:type="auto"/>
            <w:vAlign w:val="center"/>
            <w:hideMark/>
          </w:tcPr>
          <w:p w:rsidR="001164F8" w:rsidRPr="001164F8" w:rsidRDefault="001164F8" w:rsidP="001164F8">
            <w:pPr>
              <w:spacing w:after="450" w:line="240" w:lineRule="auto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  <w:r w:rsidRPr="001164F8"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>100%</w:t>
            </w:r>
          </w:p>
        </w:tc>
        <w:tc>
          <w:tcPr>
            <w:tcW w:w="0" w:type="auto"/>
            <w:vAlign w:val="center"/>
            <w:hideMark/>
          </w:tcPr>
          <w:p w:rsidR="001164F8" w:rsidRPr="001164F8" w:rsidRDefault="001164F8" w:rsidP="001164F8">
            <w:pPr>
              <w:spacing w:after="450" w:line="240" w:lineRule="auto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  <w:r w:rsidRPr="001164F8"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>61%</w:t>
            </w:r>
          </w:p>
        </w:tc>
        <w:tc>
          <w:tcPr>
            <w:tcW w:w="0" w:type="auto"/>
            <w:vAlign w:val="center"/>
            <w:hideMark/>
          </w:tcPr>
          <w:p w:rsidR="001164F8" w:rsidRPr="001164F8" w:rsidRDefault="001164F8" w:rsidP="001164F8">
            <w:pPr>
              <w:spacing w:after="450" w:line="240" w:lineRule="auto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  <w:r w:rsidRPr="001164F8"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>Above</w:t>
            </w:r>
            <w:r w:rsidR="00571645"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 xml:space="preserve"> (+39%)</w:t>
            </w:r>
          </w:p>
        </w:tc>
      </w:tr>
      <w:tr w:rsidR="001164F8" w:rsidRPr="001164F8" w:rsidTr="001164F8">
        <w:tc>
          <w:tcPr>
            <w:tcW w:w="0" w:type="auto"/>
            <w:vAlign w:val="center"/>
            <w:hideMark/>
          </w:tcPr>
          <w:p w:rsidR="001164F8" w:rsidRPr="001164F8" w:rsidRDefault="001164F8" w:rsidP="001164F8">
            <w:pPr>
              <w:spacing w:after="450" w:line="240" w:lineRule="auto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  <w:r w:rsidRPr="001164F8"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>2022/23</w:t>
            </w:r>
          </w:p>
        </w:tc>
        <w:tc>
          <w:tcPr>
            <w:tcW w:w="0" w:type="auto"/>
            <w:vAlign w:val="center"/>
            <w:hideMark/>
          </w:tcPr>
          <w:p w:rsidR="001164F8" w:rsidRPr="001164F8" w:rsidRDefault="001164F8" w:rsidP="001164F8">
            <w:pPr>
              <w:spacing w:after="450" w:line="240" w:lineRule="auto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  <w:r w:rsidRPr="001164F8"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>94%</w:t>
            </w:r>
          </w:p>
        </w:tc>
        <w:tc>
          <w:tcPr>
            <w:tcW w:w="0" w:type="auto"/>
            <w:vAlign w:val="center"/>
            <w:hideMark/>
          </w:tcPr>
          <w:p w:rsidR="001164F8" w:rsidRPr="001164F8" w:rsidRDefault="001164F8" w:rsidP="001164F8">
            <w:pPr>
              <w:spacing w:after="450" w:line="240" w:lineRule="auto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  <w:r w:rsidRPr="001164F8"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>60%</w:t>
            </w:r>
          </w:p>
        </w:tc>
        <w:tc>
          <w:tcPr>
            <w:tcW w:w="0" w:type="auto"/>
            <w:vAlign w:val="center"/>
            <w:hideMark/>
          </w:tcPr>
          <w:p w:rsidR="001164F8" w:rsidRPr="001164F8" w:rsidRDefault="001164F8" w:rsidP="001164F8">
            <w:pPr>
              <w:spacing w:after="450" w:line="240" w:lineRule="auto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  <w:r w:rsidRPr="001164F8"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>Above</w:t>
            </w:r>
            <w:r w:rsidR="00571645"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 xml:space="preserve"> (+34%)</w:t>
            </w:r>
          </w:p>
        </w:tc>
      </w:tr>
    </w:tbl>
    <w:p w:rsidR="001164F8" w:rsidRPr="001164F8" w:rsidRDefault="001164F8" w:rsidP="001164F8">
      <w:pPr>
        <w:shd w:val="clear" w:color="auto" w:fill="FFFFFF"/>
        <w:spacing w:after="300" w:line="240" w:lineRule="auto"/>
        <w:outlineLvl w:val="2"/>
        <w:rPr>
          <w:rFonts w:ascii="Arial" w:eastAsia="Times New Roman" w:hAnsi="Arial" w:cs="Arial"/>
          <w:b/>
          <w:bCs/>
          <w:color w:val="0B0C0C"/>
          <w:sz w:val="27"/>
          <w:szCs w:val="27"/>
          <w:lang w:eastAsia="en-GB"/>
        </w:rPr>
      </w:pPr>
      <w:r w:rsidRPr="001164F8">
        <w:rPr>
          <w:rFonts w:ascii="Arial" w:eastAsia="Times New Roman" w:hAnsi="Arial" w:cs="Arial"/>
          <w:b/>
          <w:bCs/>
          <w:color w:val="0B0C0C"/>
          <w:sz w:val="27"/>
          <w:szCs w:val="27"/>
          <w:lang w:eastAsia="en-GB"/>
        </w:rPr>
        <w:t>Pupils reaching the expected standard in reading</w:t>
      </w:r>
    </w:p>
    <w:tbl>
      <w:tblPr>
        <w:tblW w:w="1377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49"/>
        <w:gridCol w:w="2000"/>
        <w:gridCol w:w="2860"/>
        <w:gridCol w:w="5461"/>
      </w:tblGrid>
      <w:tr w:rsidR="001164F8" w:rsidRPr="001164F8" w:rsidTr="001164F8">
        <w:trPr>
          <w:tblHeader/>
        </w:trPr>
        <w:tc>
          <w:tcPr>
            <w:tcW w:w="0" w:type="auto"/>
            <w:vAlign w:val="center"/>
            <w:hideMark/>
          </w:tcPr>
          <w:p w:rsidR="001164F8" w:rsidRPr="001164F8" w:rsidRDefault="001164F8" w:rsidP="001164F8">
            <w:pPr>
              <w:spacing w:after="450" w:line="240" w:lineRule="auto"/>
              <w:rPr>
                <w:rFonts w:ascii="Arial" w:eastAsia="Times New Roman" w:hAnsi="Arial" w:cs="Arial"/>
                <w:b/>
                <w:bCs/>
                <w:color w:val="0B0C0C"/>
                <w:sz w:val="24"/>
                <w:szCs w:val="24"/>
                <w:lang w:eastAsia="en-GB"/>
              </w:rPr>
            </w:pPr>
            <w:r w:rsidRPr="001164F8">
              <w:rPr>
                <w:rFonts w:ascii="Arial" w:eastAsia="Times New Roman" w:hAnsi="Arial" w:cs="Arial"/>
                <w:b/>
                <w:bCs/>
                <w:color w:val="0B0C0C"/>
                <w:sz w:val="24"/>
                <w:szCs w:val="24"/>
                <w:lang w:eastAsia="en-GB"/>
              </w:rPr>
              <w:t>Year</w:t>
            </w:r>
          </w:p>
        </w:tc>
        <w:tc>
          <w:tcPr>
            <w:tcW w:w="0" w:type="auto"/>
            <w:vAlign w:val="center"/>
            <w:hideMark/>
          </w:tcPr>
          <w:p w:rsidR="001164F8" w:rsidRPr="001164F8" w:rsidRDefault="001164F8" w:rsidP="001164F8">
            <w:pPr>
              <w:spacing w:after="450" w:line="240" w:lineRule="auto"/>
              <w:rPr>
                <w:rFonts w:ascii="Arial" w:eastAsia="Times New Roman" w:hAnsi="Arial" w:cs="Arial"/>
                <w:b/>
                <w:bCs/>
                <w:color w:val="0B0C0C"/>
                <w:sz w:val="24"/>
                <w:szCs w:val="24"/>
                <w:lang w:eastAsia="en-GB"/>
              </w:rPr>
            </w:pPr>
            <w:r w:rsidRPr="001164F8">
              <w:rPr>
                <w:rFonts w:ascii="Arial" w:eastAsia="Times New Roman" w:hAnsi="Arial" w:cs="Arial"/>
                <w:b/>
                <w:bCs/>
                <w:color w:val="0B0C0C"/>
                <w:sz w:val="24"/>
                <w:szCs w:val="24"/>
                <w:lang w:eastAsia="en-GB"/>
              </w:rPr>
              <w:t>This school</w:t>
            </w:r>
          </w:p>
        </w:tc>
        <w:tc>
          <w:tcPr>
            <w:tcW w:w="0" w:type="auto"/>
            <w:vAlign w:val="center"/>
            <w:hideMark/>
          </w:tcPr>
          <w:p w:rsidR="001164F8" w:rsidRPr="001164F8" w:rsidRDefault="001164F8" w:rsidP="001164F8">
            <w:pPr>
              <w:spacing w:after="450" w:line="240" w:lineRule="auto"/>
              <w:rPr>
                <w:rFonts w:ascii="Arial" w:eastAsia="Times New Roman" w:hAnsi="Arial" w:cs="Arial"/>
                <w:b/>
                <w:bCs/>
                <w:color w:val="0B0C0C"/>
                <w:sz w:val="24"/>
                <w:szCs w:val="24"/>
                <w:lang w:eastAsia="en-GB"/>
              </w:rPr>
            </w:pPr>
            <w:r w:rsidRPr="001164F8">
              <w:rPr>
                <w:rFonts w:ascii="Arial" w:eastAsia="Times New Roman" w:hAnsi="Arial" w:cs="Arial"/>
                <w:b/>
                <w:bCs/>
                <w:color w:val="0B0C0C"/>
                <w:sz w:val="24"/>
                <w:szCs w:val="24"/>
                <w:lang w:eastAsia="en-GB"/>
              </w:rPr>
              <w:t>National average</w:t>
            </w:r>
          </w:p>
        </w:tc>
        <w:tc>
          <w:tcPr>
            <w:tcW w:w="0" w:type="auto"/>
            <w:vAlign w:val="center"/>
            <w:hideMark/>
          </w:tcPr>
          <w:p w:rsidR="001164F8" w:rsidRPr="001164F8" w:rsidRDefault="001164F8" w:rsidP="001164F8">
            <w:pPr>
              <w:spacing w:after="450" w:line="240" w:lineRule="auto"/>
              <w:rPr>
                <w:rFonts w:ascii="Arial" w:eastAsia="Times New Roman" w:hAnsi="Arial" w:cs="Arial"/>
                <w:b/>
                <w:bCs/>
                <w:color w:val="0B0C0C"/>
                <w:sz w:val="24"/>
                <w:szCs w:val="24"/>
                <w:lang w:eastAsia="en-GB"/>
              </w:rPr>
            </w:pPr>
            <w:r w:rsidRPr="001164F8">
              <w:rPr>
                <w:rFonts w:ascii="Arial" w:eastAsia="Times New Roman" w:hAnsi="Arial" w:cs="Arial"/>
                <w:b/>
                <w:bCs/>
                <w:color w:val="0B0C0C"/>
                <w:sz w:val="24"/>
                <w:szCs w:val="24"/>
                <w:lang w:eastAsia="en-GB"/>
              </w:rPr>
              <w:t>Compared with national average</w:t>
            </w:r>
          </w:p>
        </w:tc>
      </w:tr>
      <w:tr w:rsidR="001164F8" w:rsidRPr="001164F8" w:rsidTr="001164F8">
        <w:tc>
          <w:tcPr>
            <w:tcW w:w="0" w:type="auto"/>
            <w:vAlign w:val="center"/>
            <w:hideMark/>
          </w:tcPr>
          <w:p w:rsidR="001164F8" w:rsidRPr="001164F8" w:rsidRDefault="001164F8" w:rsidP="001164F8">
            <w:pPr>
              <w:spacing w:after="450" w:line="240" w:lineRule="auto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  <w:r w:rsidRPr="001164F8"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>Latest 3 year average</w:t>
            </w:r>
          </w:p>
        </w:tc>
        <w:tc>
          <w:tcPr>
            <w:tcW w:w="0" w:type="auto"/>
            <w:vAlign w:val="center"/>
            <w:hideMark/>
          </w:tcPr>
          <w:p w:rsidR="001164F8" w:rsidRPr="001164F8" w:rsidRDefault="001164F8" w:rsidP="001164F8">
            <w:pPr>
              <w:spacing w:after="450" w:line="240" w:lineRule="auto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>100%</w:t>
            </w:r>
          </w:p>
        </w:tc>
        <w:tc>
          <w:tcPr>
            <w:tcW w:w="0" w:type="auto"/>
            <w:vAlign w:val="center"/>
            <w:hideMark/>
          </w:tcPr>
          <w:p w:rsidR="001164F8" w:rsidRPr="001164F8" w:rsidRDefault="001164F8" w:rsidP="001164F8">
            <w:pPr>
              <w:spacing w:after="450" w:line="240" w:lineRule="auto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>74%</w:t>
            </w:r>
          </w:p>
        </w:tc>
        <w:tc>
          <w:tcPr>
            <w:tcW w:w="0" w:type="auto"/>
            <w:vAlign w:val="center"/>
            <w:hideMark/>
          </w:tcPr>
          <w:p w:rsidR="001164F8" w:rsidRPr="001164F8" w:rsidRDefault="00571645" w:rsidP="001164F8">
            <w:pPr>
              <w:spacing w:after="450" w:line="240" w:lineRule="auto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>Above (+26%)</w:t>
            </w:r>
          </w:p>
        </w:tc>
      </w:tr>
      <w:tr w:rsidR="001164F8" w:rsidRPr="001164F8" w:rsidTr="001164F8">
        <w:tc>
          <w:tcPr>
            <w:tcW w:w="0" w:type="auto"/>
            <w:vAlign w:val="center"/>
            <w:hideMark/>
          </w:tcPr>
          <w:p w:rsidR="001164F8" w:rsidRPr="001164F8" w:rsidRDefault="001164F8" w:rsidP="001164F8">
            <w:pPr>
              <w:spacing w:after="450" w:line="240" w:lineRule="auto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  <w:r w:rsidRPr="001164F8"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>2024/25</w:t>
            </w:r>
          </w:p>
        </w:tc>
        <w:tc>
          <w:tcPr>
            <w:tcW w:w="0" w:type="auto"/>
            <w:vAlign w:val="center"/>
            <w:hideMark/>
          </w:tcPr>
          <w:p w:rsidR="001164F8" w:rsidRPr="001164F8" w:rsidRDefault="001164F8" w:rsidP="001164F8">
            <w:pPr>
              <w:spacing w:after="450" w:line="240" w:lineRule="auto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>100%</w:t>
            </w:r>
          </w:p>
        </w:tc>
        <w:tc>
          <w:tcPr>
            <w:tcW w:w="0" w:type="auto"/>
            <w:vAlign w:val="center"/>
            <w:hideMark/>
          </w:tcPr>
          <w:p w:rsidR="001164F8" w:rsidRPr="001164F8" w:rsidRDefault="001164F8" w:rsidP="001164F8">
            <w:pPr>
              <w:spacing w:after="450" w:line="240" w:lineRule="auto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>75%</w:t>
            </w:r>
          </w:p>
        </w:tc>
        <w:tc>
          <w:tcPr>
            <w:tcW w:w="0" w:type="auto"/>
            <w:vAlign w:val="center"/>
            <w:hideMark/>
          </w:tcPr>
          <w:p w:rsidR="001164F8" w:rsidRPr="001164F8" w:rsidRDefault="001164F8" w:rsidP="001164F8">
            <w:pPr>
              <w:spacing w:after="450" w:line="240" w:lineRule="auto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>Above</w:t>
            </w:r>
            <w:r w:rsidR="00571645"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 xml:space="preserve"> (+25%)</w:t>
            </w:r>
          </w:p>
        </w:tc>
      </w:tr>
      <w:tr w:rsidR="001164F8" w:rsidRPr="001164F8" w:rsidTr="001164F8">
        <w:tc>
          <w:tcPr>
            <w:tcW w:w="0" w:type="auto"/>
            <w:vAlign w:val="center"/>
            <w:hideMark/>
          </w:tcPr>
          <w:p w:rsidR="001164F8" w:rsidRPr="001164F8" w:rsidRDefault="001164F8" w:rsidP="001164F8">
            <w:pPr>
              <w:spacing w:after="450" w:line="240" w:lineRule="auto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  <w:r w:rsidRPr="001164F8"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>2023/24</w:t>
            </w:r>
          </w:p>
        </w:tc>
        <w:tc>
          <w:tcPr>
            <w:tcW w:w="0" w:type="auto"/>
            <w:vAlign w:val="center"/>
            <w:hideMark/>
          </w:tcPr>
          <w:p w:rsidR="001164F8" w:rsidRPr="001164F8" w:rsidRDefault="001164F8" w:rsidP="001164F8">
            <w:pPr>
              <w:spacing w:after="450" w:line="240" w:lineRule="auto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  <w:r w:rsidRPr="001164F8"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>100%</w:t>
            </w:r>
          </w:p>
        </w:tc>
        <w:tc>
          <w:tcPr>
            <w:tcW w:w="0" w:type="auto"/>
            <w:vAlign w:val="center"/>
            <w:hideMark/>
          </w:tcPr>
          <w:p w:rsidR="001164F8" w:rsidRPr="001164F8" w:rsidRDefault="001164F8" w:rsidP="001164F8">
            <w:pPr>
              <w:spacing w:after="450" w:line="240" w:lineRule="auto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  <w:r w:rsidRPr="001164F8"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>74%</w:t>
            </w:r>
          </w:p>
        </w:tc>
        <w:tc>
          <w:tcPr>
            <w:tcW w:w="0" w:type="auto"/>
            <w:vAlign w:val="center"/>
            <w:hideMark/>
          </w:tcPr>
          <w:p w:rsidR="001164F8" w:rsidRPr="001164F8" w:rsidRDefault="001164F8" w:rsidP="001164F8">
            <w:pPr>
              <w:spacing w:after="450" w:line="240" w:lineRule="auto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  <w:r w:rsidRPr="001164F8"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>Above</w:t>
            </w:r>
            <w:r w:rsidR="00571645"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 xml:space="preserve"> (+26%)</w:t>
            </w:r>
          </w:p>
        </w:tc>
      </w:tr>
      <w:tr w:rsidR="001164F8" w:rsidRPr="001164F8" w:rsidTr="001164F8">
        <w:tc>
          <w:tcPr>
            <w:tcW w:w="0" w:type="auto"/>
            <w:vAlign w:val="center"/>
            <w:hideMark/>
          </w:tcPr>
          <w:p w:rsidR="001164F8" w:rsidRPr="001164F8" w:rsidRDefault="001164F8" w:rsidP="001164F8">
            <w:pPr>
              <w:spacing w:after="450" w:line="240" w:lineRule="auto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  <w:r w:rsidRPr="001164F8"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lastRenderedPageBreak/>
              <w:t>2022/23</w:t>
            </w:r>
          </w:p>
        </w:tc>
        <w:tc>
          <w:tcPr>
            <w:tcW w:w="0" w:type="auto"/>
            <w:vAlign w:val="center"/>
            <w:hideMark/>
          </w:tcPr>
          <w:p w:rsidR="001164F8" w:rsidRPr="001164F8" w:rsidRDefault="001164F8" w:rsidP="001164F8">
            <w:pPr>
              <w:spacing w:after="450" w:line="240" w:lineRule="auto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  <w:r w:rsidRPr="001164F8"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>100%</w:t>
            </w:r>
          </w:p>
        </w:tc>
        <w:tc>
          <w:tcPr>
            <w:tcW w:w="0" w:type="auto"/>
            <w:vAlign w:val="center"/>
            <w:hideMark/>
          </w:tcPr>
          <w:p w:rsidR="001164F8" w:rsidRPr="001164F8" w:rsidRDefault="001164F8" w:rsidP="001164F8">
            <w:pPr>
              <w:spacing w:after="450" w:line="240" w:lineRule="auto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  <w:r w:rsidRPr="001164F8"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>73%</w:t>
            </w:r>
          </w:p>
        </w:tc>
        <w:tc>
          <w:tcPr>
            <w:tcW w:w="0" w:type="auto"/>
            <w:vAlign w:val="center"/>
            <w:hideMark/>
          </w:tcPr>
          <w:p w:rsidR="001164F8" w:rsidRPr="001164F8" w:rsidRDefault="001164F8" w:rsidP="001164F8">
            <w:pPr>
              <w:spacing w:after="450" w:line="240" w:lineRule="auto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  <w:r w:rsidRPr="001164F8"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>Above</w:t>
            </w:r>
          </w:p>
        </w:tc>
      </w:tr>
    </w:tbl>
    <w:p w:rsidR="001164F8" w:rsidRPr="001164F8" w:rsidRDefault="001164F8" w:rsidP="001164F8">
      <w:pPr>
        <w:shd w:val="clear" w:color="auto" w:fill="FFFFFF"/>
        <w:spacing w:after="300" w:line="240" w:lineRule="auto"/>
        <w:outlineLvl w:val="2"/>
        <w:rPr>
          <w:rFonts w:ascii="Arial" w:eastAsia="Times New Roman" w:hAnsi="Arial" w:cs="Arial"/>
          <w:b/>
          <w:bCs/>
          <w:color w:val="0B0C0C"/>
          <w:sz w:val="27"/>
          <w:szCs w:val="27"/>
          <w:lang w:eastAsia="en-GB"/>
        </w:rPr>
      </w:pPr>
      <w:r w:rsidRPr="001164F8">
        <w:rPr>
          <w:rFonts w:ascii="Arial" w:eastAsia="Times New Roman" w:hAnsi="Arial" w:cs="Arial"/>
          <w:b/>
          <w:bCs/>
          <w:color w:val="0B0C0C"/>
          <w:sz w:val="27"/>
          <w:szCs w:val="27"/>
          <w:lang w:eastAsia="en-GB"/>
        </w:rPr>
        <w:t>Pupils reaching the expected standard in teacher assessed writing</w:t>
      </w:r>
    </w:p>
    <w:tbl>
      <w:tblPr>
        <w:tblW w:w="1377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49"/>
        <w:gridCol w:w="2000"/>
        <w:gridCol w:w="2860"/>
        <w:gridCol w:w="5461"/>
      </w:tblGrid>
      <w:tr w:rsidR="001164F8" w:rsidRPr="001164F8" w:rsidTr="001164F8">
        <w:trPr>
          <w:tblHeader/>
        </w:trPr>
        <w:tc>
          <w:tcPr>
            <w:tcW w:w="0" w:type="auto"/>
            <w:vAlign w:val="center"/>
            <w:hideMark/>
          </w:tcPr>
          <w:p w:rsidR="001164F8" w:rsidRPr="001164F8" w:rsidRDefault="001164F8" w:rsidP="001164F8">
            <w:pPr>
              <w:spacing w:after="450" w:line="240" w:lineRule="auto"/>
              <w:rPr>
                <w:rFonts w:ascii="Arial" w:eastAsia="Times New Roman" w:hAnsi="Arial" w:cs="Arial"/>
                <w:b/>
                <w:bCs/>
                <w:color w:val="0B0C0C"/>
                <w:sz w:val="24"/>
                <w:szCs w:val="24"/>
                <w:lang w:eastAsia="en-GB"/>
              </w:rPr>
            </w:pPr>
            <w:r w:rsidRPr="001164F8">
              <w:rPr>
                <w:rFonts w:ascii="Arial" w:eastAsia="Times New Roman" w:hAnsi="Arial" w:cs="Arial"/>
                <w:b/>
                <w:bCs/>
                <w:color w:val="0B0C0C"/>
                <w:sz w:val="24"/>
                <w:szCs w:val="24"/>
                <w:lang w:eastAsia="en-GB"/>
              </w:rPr>
              <w:t>Year</w:t>
            </w:r>
          </w:p>
        </w:tc>
        <w:tc>
          <w:tcPr>
            <w:tcW w:w="0" w:type="auto"/>
            <w:vAlign w:val="center"/>
            <w:hideMark/>
          </w:tcPr>
          <w:p w:rsidR="001164F8" w:rsidRPr="001164F8" w:rsidRDefault="001164F8" w:rsidP="001164F8">
            <w:pPr>
              <w:spacing w:after="450" w:line="240" w:lineRule="auto"/>
              <w:rPr>
                <w:rFonts w:ascii="Arial" w:eastAsia="Times New Roman" w:hAnsi="Arial" w:cs="Arial"/>
                <w:b/>
                <w:bCs/>
                <w:color w:val="0B0C0C"/>
                <w:sz w:val="24"/>
                <w:szCs w:val="24"/>
                <w:lang w:eastAsia="en-GB"/>
              </w:rPr>
            </w:pPr>
            <w:r w:rsidRPr="001164F8">
              <w:rPr>
                <w:rFonts w:ascii="Arial" w:eastAsia="Times New Roman" w:hAnsi="Arial" w:cs="Arial"/>
                <w:b/>
                <w:bCs/>
                <w:color w:val="0B0C0C"/>
                <w:sz w:val="24"/>
                <w:szCs w:val="24"/>
                <w:lang w:eastAsia="en-GB"/>
              </w:rPr>
              <w:t>This school</w:t>
            </w:r>
          </w:p>
        </w:tc>
        <w:tc>
          <w:tcPr>
            <w:tcW w:w="0" w:type="auto"/>
            <w:vAlign w:val="center"/>
            <w:hideMark/>
          </w:tcPr>
          <w:p w:rsidR="001164F8" w:rsidRPr="001164F8" w:rsidRDefault="001164F8" w:rsidP="001164F8">
            <w:pPr>
              <w:spacing w:after="450" w:line="240" w:lineRule="auto"/>
              <w:rPr>
                <w:rFonts w:ascii="Arial" w:eastAsia="Times New Roman" w:hAnsi="Arial" w:cs="Arial"/>
                <w:b/>
                <w:bCs/>
                <w:color w:val="0B0C0C"/>
                <w:sz w:val="24"/>
                <w:szCs w:val="24"/>
                <w:lang w:eastAsia="en-GB"/>
              </w:rPr>
            </w:pPr>
            <w:r w:rsidRPr="001164F8">
              <w:rPr>
                <w:rFonts w:ascii="Arial" w:eastAsia="Times New Roman" w:hAnsi="Arial" w:cs="Arial"/>
                <w:b/>
                <w:bCs/>
                <w:color w:val="0B0C0C"/>
                <w:sz w:val="24"/>
                <w:szCs w:val="24"/>
                <w:lang w:eastAsia="en-GB"/>
              </w:rPr>
              <w:t>National average</w:t>
            </w:r>
          </w:p>
        </w:tc>
        <w:tc>
          <w:tcPr>
            <w:tcW w:w="0" w:type="auto"/>
            <w:vAlign w:val="center"/>
            <w:hideMark/>
          </w:tcPr>
          <w:p w:rsidR="001164F8" w:rsidRPr="001164F8" w:rsidRDefault="001164F8" w:rsidP="001164F8">
            <w:pPr>
              <w:spacing w:after="450" w:line="240" w:lineRule="auto"/>
              <w:rPr>
                <w:rFonts w:ascii="Arial" w:eastAsia="Times New Roman" w:hAnsi="Arial" w:cs="Arial"/>
                <w:b/>
                <w:bCs/>
                <w:color w:val="0B0C0C"/>
                <w:sz w:val="24"/>
                <w:szCs w:val="24"/>
                <w:lang w:eastAsia="en-GB"/>
              </w:rPr>
            </w:pPr>
            <w:r w:rsidRPr="001164F8">
              <w:rPr>
                <w:rFonts w:ascii="Arial" w:eastAsia="Times New Roman" w:hAnsi="Arial" w:cs="Arial"/>
                <w:b/>
                <w:bCs/>
                <w:color w:val="0B0C0C"/>
                <w:sz w:val="24"/>
                <w:szCs w:val="24"/>
                <w:lang w:eastAsia="en-GB"/>
              </w:rPr>
              <w:t>Compared with national average</w:t>
            </w:r>
          </w:p>
        </w:tc>
      </w:tr>
      <w:tr w:rsidR="001164F8" w:rsidRPr="001164F8" w:rsidTr="001164F8">
        <w:tc>
          <w:tcPr>
            <w:tcW w:w="0" w:type="auto"/>
            <w:vAlign w:val="center"/>
            <w:hideMark/>
          </w:tcPr>
          <w:p w:rsidR="001164F8" w:rsidRPr="001164F8" w:rsidRDefault="001164F8" w:rsidP="001164F8">
            <w:pPr>
              <w:spacing w:after="450" w:line="240" w:lineRule="auto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  <w:r w:rsidRPr="001164F8"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>Latest 3 year average</w:t>
            </w:r>
          </w:p>
        </w:tc>
        <w:tc>
          <w:tcPr>
            <w:tcW w:w="0" w:type="auto"/>
            <w:vAlign w:val="center"/>
            <w:hideMark/>
          </w:tcPr>
          <w:p w:rsidR="001164F8" w:rsidRPr="001164F8" w:rsidRDefault="001164F8" w:rsidP="001164F8">
            <w:pPr>
              <w:spacing w:after="450" w:line="240" w:lineRule="auto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>98%</w:t>
            </w:r>
          </w:p>
        </w:tc>
        <w:tc>
          <w:tcPr>
            <w:tcW w:w="0" w:type="auto"/>
            <w:vAlign w:val="center"/>
            <w:hideMark/>
          </w:tcPr>
          <w:p w:rsidR="001164F8" w:rsidRPr="001164F8" w:rsidRDefault="00571645" w:rsidP="001164F8">
            <w:pPr>
              <w:spacing w:after="450" w:line="240" w:lineRule="auto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>72%</w:t>
            </w:r>
          </w:p>
        </w:tc>
        <w:tc>
          <w:tcPr>
            <w:tcW w:w="0" w:type="auto"/>
            <w:vAlign w:val="center"/>
            <w:hideMark/>
          </w:tcPr>
          <w:p w:rsidR="001164F8" w:rsidRPr="001164F8" w:rsidRDefault="00571645" w:rsidP="001164F8">
            <w:pPr>
              <w:spacing w:after="450" w:line="240" w:lineRule="auto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>Above</w:t>
            </w:r>
          </w:p>
        </w:tc>
      </w:tr>
      <w:tr w:rsidR="001164F8" w:rsidRPr="001164F8" w:rsidTr="001164F8">
        <w:tc>
          <w:tcPr>
            <w:tcW w:w="0" w:type="auto"/>
            <w:vAlign w:val="center"/>
            <w:hideMark/>
          </w:tcPr>
          <w:p w:rsidR="001164F8" w:rsidRPr="001164F8" w:rsidRDefault="001164F8" w:rsidP="001164F8">
            <w:pPr>
              <w:spacing w:after="450" w:line="240" w:lineRule="auto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  <w:r w:rsidRPr="001164F8"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>2024/25</w:t>
            </w:r>
          </w:p>
        </w:tc>
        <w:tc>
          <w:tcPr>
            <w:tcW w:w="0" w:type="auto"/>
            <w:vAlign w:val="center"/>
            <w:hideMark/>
          </w:tcPr>
          <w:p w:rsidR="001164F8" w:rsidRPr="001164F8" w:rsidRDefault="001164F8" w:rsidP="001164F8">
            <w:pPr>
              <w:spacing w:after="450" w:line="240" w:lineRule="auto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>100%</w:t>
            </w:r>
          </w:p>
        </w:tc>
        <w:tc>
          <w:tcPr>
            <w:tcW w:w="0" w:type="auto"/>
            <w:vAlign w:val="center"/>
            <w:hideMark/>
          </w:tcPr>
          <w:p w:rsidR="001164F8" w:rsidRPr="001164F8" w:rsidRDefault="00571645" w:rsidP="001164F8">
            <w:pPr>
              <w:spacing w:after="450" w:line="240" w:lineRule="auto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>72%</w:t>
            </w:r>
          </w:p>
        </w:tc>
        <w:tc>
          <w:tcPr>
            <w:tcW w:w="0" w:type="auto"/>
            <w:vAlign w:val="center"/>
            <w:hideMark/>
          </w:tcPr>
          <w:p w:rsidR="001164F8" w:rsidRPr="001164F8" w:rsidRDefault="00571645" w:rsidP="001164F8">
            <w:pPr>
              <w:spacing w:after="450" w:line="240" w:lineRule="auto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>Above</w:t>
            </w:r>
          </w:p>
        </w:tc>
      </w:tr>
      <w:tr w:rsidR="001164F8" w:rsidRPr="001164F8" w:rsidTr="001164F8">
        <w:tc>
          <w:tcPr>
            <w:tcW w:w="0" w:type="auto"/>
            <w:vAlign w:val="center"/>
            <w:hideMark/>
          </w:tcPr>
          <w:p w:rsidR="001164F8" w:rsidRPr="001164F8" w:rsidRDefault="001164F8" w:rsidP="001164F8">
            <w:pPr>
              <w:spacing w:after="450" w:line="240" w:lineRule="auto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  <w:r w:rsidRPr="001164F8"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>2023/24</w:t>
            </w:r>
          </w:p>
        </w:tc>
        <w:tc>
          <w:tcPr>
            <w:tcW w:w="0" w:type="auto"/>
            <w:vAlign w:val="center"/>
            <w:hideMark/>
          </w:tcPr>
          <w:p w:rsidR="001164F8" w:rsidRPr="001164F8" w:rsidRDefault="001164F8" w:rsidP="001164F8">
            <w:pPr>
              <w:spacing w:after="450" w:line="240" w:lineRule="auto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  <w:r w:rsidRPr="001164F8"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>100%</w:t>
            </w:r>
          </w:p>
        </w:tc>
        <w:tc>
          <w:tcPr>
            <w:tcW w:w="0" w:type="auto"/>
            <w:vAlign w:val="center"/>
            <w:hideMark/>
          </w:tcPr>
          <w:p w:rsidR="001164F8" w:rsidRPr="001164F8" w:rsidRDefault="001164F8" w:rsidP="001164F8">
            <w:pPr>
              <w:spacing w:after="450" w:line="240" w:lineRule="auto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  <w:r w:rsidRPr="001164F8"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>72%</w:t>
            </w:r>
          </w:p>
        </w:tc>
        <w:tc>
          <w:tcPr>
            <w:tcW w:w="0" w:type="auto"/>
            <w:vAlign w:val="center"/>
            <w:hideMark/>
          </w:tcPr>
          <w:p w:rsidR="001164F8" w:rsidRPr="001164F8" w:rsidRDefault="001164F8" w:rsidP="001164F8">
            <w:pPr>
              <w:spacing w:after="450" w:line="240" w:lineRule="auto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  <w:r w:rsidRPr="001164F8"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>Above</w:t>
            </w:r>
          </w:p>
        </w:tc>
      </w:tr>
      <w:tr w:rsidR="001164F8" w:rsidRPr="001164F8" w:rsidTr="001164F8">
        <w:tc>
          <w:tcPr>
            <w:tcW w:w="0" w:type="auto"/>
            <w:vAlign w:val="center"/>
            <w:hideMark/>
          </w:tcPr>
          <w:p w:rsidR="001164F8" w:rsidRPr="001164F8" w:rsidRDefault="001164F8" w:rsidP="001164F8">
            <w:pPr>
              <w:spacing w:after="450" w:line="240" w:lineRule="auto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  <w:r w:rsidRPr="001164F8"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>2022/23</w:t>
            </w:r>
          </w:p>
        </w:tc>
        <w:tc>
          <w:tcPr>
            <w:tcW w:w="0" w:type="auto"/>
            <w:vAlign w:val="center"/>
            <w:hideMark/>
          </w:tcPr>
          <w:p w:rsidR="001164F8" w:rsidRPr="001164F8" w:rsidRDefault="001164F8" w:rsidP="001164F8">
            <w:pPr>
              <w:spacing w:after="450" w:line="240" w:lineRule="auto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  <w:r w:rsidRPr="001164F8"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>94%</w:t>
            </w:r>
          </w:p>
        </w:tc>
        <w:tc>
          <w:tcPr>
            <w:tcW w:w="0" w:type="auto"/>
            <w:vAlign w:val="center"/>
            <w:hideMark/>
          </w:tcPr>
          <w:p w:rsidR="001164F8" w:rsidRPr="001164F8" w:rsidRDefault="001164F8" w:rsidP="001164F8">
            <w:pPr>
              <w:spacing w:after="450" w:line="240" w:lineRule="auto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  <w:r w:rsidRPr="001164F8"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>71%</w:t>
            </w:r>
          </w:p>
        </w:tc>
        <w:tc>
          <w:tcPr>
            <w:tcW w:w="0" w:type="auto"/>
            <w:vAlign w:val="center"/>
            <w:hideMark/>
          </w:tcPr>
          <w:p w:rsidR="001164F8" w:rsidRPr="001164F8" w:rsidRDefault="001164F8" w:rsidP="001164F8">
            <w:pPr>
              <w:spacing w:after="450" w:line="240" w:lineRule="auto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  <w:r w:rsidRPr="001164F8"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>Above</w:t>
            </w:r>
          </w:p>
        </w:tc>
      </w:tr>
    </w:tbl>
    <w:p w:rsidR="001164F8" w:rsidRPr="001164F8" w:rsidRDefault="001164F8" w:rsidP="001164F8">
      <w:pPr>
        <w:shd w:val="clear" w:color="auto" w:fill="FFFFFF"/>
        <w:spacing w:after="300" w:line="240" w:lineRule="auto"/>
        <w:outlineLvl w:val="2"/>
        <w:rPr>
          <w:rFonts w:ascii="Arial" w:eastAsia="Times New Roman" w:hAnsi="Arial" w:cs="Arial"/>
          <w:b/>
          <w:bCs/>
          <w:color w:val="0B0C0C"/>
          <w:sz w:val="27"/>
          <w:szCs w:val="27"/>
          <w:lang w:eastAsia="en-GB"/>
        </w:rPr>
      </w:pPr>
      <w:r w:rsidRPr="001164F8">
        <w:rPr>
          <w:rFonts w:ascii="Arial" w:eastAsia="Times New Roman" w:hAnsi="Arial" w:cs="Arial"/>
          <w:b/>
          <w:bCs/>
          <w:color w:val="0B0C0C"/>
          <w:sz w:val="27"/>
          <w:szCs w:val="27"/>
          <w:lang w:eastAsia="en-GB"/>
        </w:rPr>
        <w:t>Pupils reaching the expected standard in maths</w:t>
      </w:r>
    </w:p>
    <w:tbl>
      <w:tblPr>
        <w:tblW w:w="1377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49"/>
        <w:gridCol w:w="2000"/>
        <w:gridCol w:w="2860"/>
        <w:gridCol w:w="5461"/>
      </w:tblGrid>
      <w:tr w:rsidR="001164F8" w:rsidRPr="001164F8" w:rsidTr="001164F8">
        <w:trPr>
          <w:tblHeader/>
        </w:trPr>
        <w:tc>
          <w:tcPr>
            <w:tcW w:w="0" w:type="auto"/>
            <w:vAlign w:val="center"/>
            <w:hideMark/>
          </w:tcPr>
          <w:p w:rsidR="001164F8" w:rsidRPr="001164F8" w:rsidRDefault="001164F8" w:rsidP="001164F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B0C0C"/>
                <w:sz w:val="24"/>
                <w:szCs w:val="24"/>
                <w:lang w:eastAsia="en-GB"/>
              </w:rPr>
            </w:pPr>
            <w:r w:rsidRPr="001164F8">
              <w:rPr>
                <w:rFonts w:ascii="Arial" w:eastAsia="Times New Roman" w:hAnsi="Arial" w:cs="Arial"/>
                <w:b/>
                <w:bCs/>
                <w:color w:val="0B0C0C"/>
                <w:sz w:val="24"/>
                <w:szCs w:val="24"/>
                <w:lang w:eastAsia="en-GB"/>
              </w:rPr>
              <w:t>Year</w:t>
            </w:r>
          </w:p>
        </w:tc>
        <w:tc>
          <w:tcPr>
            <w:tcW w:w="0" w:type="auto"/>
            <w:vAlign w:val="center"/>
            <w:hideMark/>
          </w:tcPr>
          <w:p w:rsidR="001164F8" w:rsidRPr="001164F8" w:rsidRDefault="001164F8" w:rsidP="001164F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B0C0C"/>
                <w:sz w:val="24"/>
                <w:szCs w:val="24"/>
                <w:lang w:eastAsia="en-GB"/>
              </w:rPr>
            </w:pPr>
            <w:r w:rsidRPr="001164F8">
              <w:rPr>
                <w:rFonts w:ascii="Arial" w:eastAsia="Times New Roman" w:hAnsi="Arial" w:cs="Arial"/>
                <w:b/>
                <w:bCs/>
                <w:color w:val="0B0C0C"/>
                <w:sz w:val="24"/>
                <w:szCs w:val="24"/>
                <w:lang w:eastAsia="en-GB"/>
              </w:rPr>
              <w:t>This school</w:t>
            </w:r>
          </w:p>
        </w:tc>
        <w:tc>
          <w:tcPr>
            <w:tcW w:w="0" w:type="auto"/>
            <w:vAlign w:val="center"/>
            <w:hideMark/>
          </w:tcPr>
          <w:p w:rsidR="001164F8" w:rsidRPr="001164F8" w:rsidRDefault="001164F8" w:rsidP="001164F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B0C0C"/>
                <w:sz w:val="24"/>
                <w:szCs w:val="24"/>
                <w:lang w:eastAsia="en-GB"/>
              </w:rPr>
            </w:pPr>
            <w:r w:rsidRPr="001164F8">
              <w:rPr>
                <w:rFonts w:ascii="Arial" w:eastAsia="Times New Roman" w:hAnsi="Arial" w:cs="Arial"/>
                <w:b/>
                <w:bCs/>
                <w:color w:val="0B0C0C"/>
                <w:sz w:val="24"/>
                <w:szCs w:val="24"/>
                <w:lang w:eastAsia="en-GB"/>
              </w:rPr>
              <w:t>National average</w:t>
            </w:r>
          </w:p>
        </w:tc>
        <w:tc>
          <w:tcPr>
            <w:tcW w:w="0" w:type="auto"/>
            <w:vAlign w:val="center"/>
            <w:hideMark/>
          </w:tcPr>
          <w:p w:rsidR="001164F8" w:rsidRPr="001164F8" w:rsidRDefault="001164F8" w:rsidP="001164F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B0C0C"/>
                <w:sz w:val="24"/>
                <w:szCs w:val="24"/>
                <w:lang w:eastAsia="en-GB"/>
              </w:rPr>
            </w:pPr>
            <w:r w:rsidRPr="001164F8">
              <w:rPr>
                <w:rFonts w:ascii="Arial" w:eastAsia="Times New Roman" w:hAnsi="Arial" w:cs="Arial"/>
                <w:b/>
                <w:bCs/>
                <w:color w:val="0B0C0C"/>
                <w:sz w:val="24"/>
                <w:szCs w:val="24"/>
                <w:lang w:eastAsia="en-GB"/>
              </w:rPr>
              <w:t>Compared with national average</w:t>
            </w:r>
          </w:p>
        </w:tc>
      </w:tr>
      <w:tr w:rsidR="001164F8" w:rsidRPr="001164F8" w:rsidTr="001164F8">
        <w:tc>
          <w:tcPr>
            <w:tcW w:w="0" w:type="auto"/>
            <w:vAlign w:val="center"/>
            <w:hideMark/>
          </w:tcPr>
          <w:p w:rsidR="001164F8" w:rsidRDefault="001164F8" w:rsidP="001164F8">
            <w:pPr>
              <w:spacing w:after="0" w:line="240" w:lineRule="auto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  <w:r w:rsidRPr="001164F8"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 xml:space="preserve">Latest </w:t>
            </w:r>
            <w:proofErr w:type="gramStart"/>
            <w:r w:rsidRPr="001164F8"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>3 year</w:t>
            </w:r>
            <w:proofErr w:type="gramEnd"/>
            <w:r w:rsidRPr="001164F8"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 xml:space="preserve"> average</w:t>
            </w:r>
          </w:p>
          <w:p w:rsidR="00571645" w:rsidRPr="001164F8" w:rsidRDefault="00571645" w:rsidP="001164F8">
            <w:pPr>
              <w:spacing w:after="0" w:line="240" w:lineRule="auto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vAlign w:val="center"/>
            <w:hideMark/>
          </w:tcPr>
          <w:p w:rsidR="001164F8" w:rsidRPr="001164F8" w:rsidRDefault="00571645" w:rsidP="001164F8">
            <w:pPr>
              <w:spacing w:after="0" w:line="240" w:lineRule="auto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>100%</w:t>
            </w:r>
          </w:p>
        </w:tc>
        <w:tc>
          <w:tcPr>
            <w:tcW w:w="0" w:type="auto"/>
            <w:vAlign w:val="center"/>
            <w:hideMark/>
          </w:tcPr>
          <w:p w:rsidR="001164F8" w:rsidRPr="001164F8" w:rsidRDefault="00571645" w:rsidP="001164F8">
            <w:pPr>
              <w:spacing w:after="0" w:line="240" w:lineRule="auto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>73%</w:t>
            </w:r>
          </w:p>
        </w:tc>
        <w:tc>
          <w:tcPr>
            <w:tcW w:w="0" w:type="auto"/>
            <w:vAlign w:val="center"/>
            <w:hideMark/>
          </w:tcPr>
          <w:p w:rsidR="001164F8" w:rsidRPr="001164F8" w:rsidRDefault="00571645" w:rsidP="001164F8">
            <w:pPr>
              <w:spacing w:after="0" w:line="240" w:lineRule="auto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>Above</w:t>
            </w:r>
          </w:p>
        </w:tc>
      </w:tr>
      <w:tr w:rsidR="001164F8" w:rsidRPr="001164F8" w:rsidTr="001164F8">
        <w:tc>
          <w:tcPr>
            <w:tcW w:w="0" w:type="auto"/>
            <w:vAlign w:val="center"/>
            <w:hideMark/>
          </w:tcPr>
          <w:p w:rsidR="001164F8" w:rsidRDefault="001164F8" w:rsidP="001164F8">
            <w:pPr>
              <w:spacing w:after="0" w:line="240" w:lineRule="auto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  <w:r w:rsidRPr="001164F8"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>2024/25</w:t>
            </w:r>
          </w:p>
          <w:p w:rsidR="00571645" w:rsidRPr="001164F8" w:rsidRDefault="00571645" w:rsidP="001164F8">
            <w:pPr>
              <w:spacing w:after="0" w:line="240" w:lineRule="auto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vAlign w:val="center"/>
            <w:hideMark/>
          </w:tcPr>
          <w:p w:rsidR="001164F8" w:rsidRPr="001164F8" w:rsidRDefault="001164F8" w:rsidP="001164F8">
            <w:pPr>
              <w:spacing w:after="0" w:line="240" w:lineRule="auto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 xml:space="preserve">100%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0" w:type="auto"/>
            <w:vAlign w:val="center"/>
            <w:hideMark/>
          </w:tcPr>
          <w:p w:rsidR="001164F8" w:rsidRPr="001164F8" w:rsidRDefault="00571645" w:rsidP="001164F8">
            <w:pPr>
              <w:spacing w:after="0" w:line="240" w:lineRule="auto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>74%</w:t>
            </w:r>
          </w:p>
        </w:tc>
        <w:tc>
          <w:tcPr>
            <w:tcW w:w="0" w:type="auto"/>
            <w:vAlign w:val="center"/>
            <w:hideMark/>
          </w:tcPr>
          <w:p w:rsidR="001164F8" w:rsidRPr="001164F8" w:rsidRDefault="00571645" w:rsidP="001164F8">
            <w:pPr>
              <w:spacing w:after="0" w:line="240" w:lineRule="auto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>Above</w:t>
            </w:r>
          </w:p>
        </w:tc>
      </w:tr>
      <w:tr w:rsidR="001164F8" w:rsidRPr="001164F8" w:rsidTr="001164F8">
        <w:tc>
          <w:tcPr>
            <w:tcW w:w="0" w:type="auto"/>
            <w:vAlign w:val="center"/>
            <w:hideMark/>
          </w:tcPr>
          <w:p w:rsidR="001164F8" w:rsidRDefault="001164F8" w:rsidP="001164F8">
            <w:pPr>
              <w:spacing w:after="0" w:line="240" w:lineRule="auto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  <w:r w:rsidRPr="001164F8"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>2023/24</w:t>
            </w:r>
          </w:p>
          <w:p w:rsidR="00571645" w:rsidRPr="001164F8" w:rsidRDefault="00571645" w:rsidP="001164F8">
            <w:pPr>
              <w:spacing w:after="0" w:line="240" w:lineRule="auto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vAlign w:val="center"/>
            <w:hideMark/>
          </w:tcPr>
          <w:p w:rsidR="001164F8" w:rsidRPr="001164F8" w:rsidRDefault="001164F8" w:rsidP="001164F8">
            <w:pPr>
              <w:spacing w:after="0" w:line="240" w:lineRule="auto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  <w:r w:rsidRPr="001164F8"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>100%</w:t>
            </w:r>
          </w:p>
        </w:tc>
        <w:tc>
          <w:tcPr>
            <w:tcW w:w="0" w:type="auto"/>
            <w:vAlign w:val="center"/>
            <w:hideMark/>
          </w:tcPr>
          <w:p w:rsidR="001164F8" w:rsidRPr="001164F8" w:rsidRDefault="001164F8" w:rsidP="001164F8">
            <w:pPr>
              <w:spacing w:after="0" w:line="240" w:lineRule="auto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  <w:r w:rsidRPr="001164F8"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>73%</w:t>
            </w:r>
          </w:p>
        </w:tc>
        <w:tc>
          <w:tcPr>
            <w:tcW w:w="0" w:type="auto"/>
            <w:vAlign w:val="center"/>
            <w:hideMark/>
          </w:tcPr>
          <w:p w:rsidR="001164F8" w:rsidRPr="001164F8" w:rsidRDefault="001164F8" w:rsidP="001164F8">
            <w:pPr>
              <w:spacing w:after="0" w:line="240" w:lineRule="auto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  <w:r w:rsidRPr="001164F8"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>Above</w:t>
            </w:r>
          </w:p>
        </w:tc>
      </w:tr>
      <w:tr w:rsidR="001164F8" w:rsidRPr="001164F8" w:rsidTr="001164F8">
        <w:tc>
          <w:tcPr>
            <w:tcW w:w="0" w:type="auto"/>
            <w:vAlign w:val="center"/>
            <w:hideMark/>
          </w:tcPr>
          <w:p w:rsidR="001164F8" w:rsidRPr="001164F8" w:rsidRDefault="001164F8" w:rsidP="001164F8">
            <w:pPr>
              <w:spacing w:after="0" w:line="240" w:lineRule="auto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  <w:r w:rsidRPr="001164F8"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>2022/23</w:t>
            </w:r>
          </w:p>
        </w:tc>
        <w:tc>
          <w:tcPr>
            <w:tcW w:w="0" w:type="auto"/>
            <w:vAlign w:val="center"/>
            <w:hideMark/>
          </w:tcPr>
          <w:p w:rsidR="001164F8" w:rsidRPr="001164F8" w:rsidRDefault="001164F8" w:rsidP="001164F8">
            <w:pPr>
              <w:spacing w:after="0" w:line="240" w:lineRule="auto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  <w:r w:rsidRPr="001164F8"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>100%</w:t>
            </w:r>
          </w:p>
        </w:tc>
        <w:tc>
          <w:tcPr>
            <w:tcW w:w="0" w:type="auto"/>
            <w:vAlign w:val="center"/>
            <w:hideMark/>
          </w:tcPr>
          <w:p w:rsidR="001164F8" w:rsidRPr="001164F8" w:rsidRDefault="001164F8" w:rsidP="001164F8">
            <w:pPr>
              <w:spacing w:after="0" w:line="240" w:lineRule="auto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  <w:r w:rsidRPr="001164F8"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>73%</w:t>
            </w:r>
          </w:p>
        </w:tc>
        <w:tc>
          <w:tcPr>
            <w:tcW w:w="0" w:type="auto"/>
            <w:vAlign w:val="center"/>
            <w:hideMark/>
          </w:tcPr>
          <w:p w:rsidR="001164F8" w:rsidRPr="001164F8" w:rsidRDefault="001164F8" w:rsidP="001164F8">
            <w:pPr>
              <w:spacing w:after="0" w:line="240" w:lineRule="auto"/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</w:pPr>
            <w:r w:rsidRPr="001164F8">
              <w:rPr>
                <w:rFonts w:ascii="Arial" w:eastAsia="Times New Roman" w:hAnsi="Arial" w:cs="Arial"/>
                <w:color w:val="0B0C0C"/>
                <w:sz w:val="24"/>
                <w:szCs w:val="24"/>
                <w:lang w:eastAsia="en-GB"/>
              </w:rPr>
              <w:t>Above</w:t>
            </w:r>
          </w:p>
        </w:tc>
      </w:tr>
    </w:tbl>
    <w:p w:rsidR="00DA7DBF" w:rsidRDefault="00571645"/>
    <w:sectPr w:rsidR="00DA7DBF" w:rsidSect="001164F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64F8"/>
    <w:rsid w:val="001164F8"/>
    <w:rsid w:val="0056506D"/>
    <w:rsid w:val="00571645"/>
    <w:rsid w:val="00C03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C7FB30"/>
  <w15:chartTrackingRefBased/>
  <w15:docId w15:val="{9E1FE59A-6AEC-4A9B-BFB5-4F7D680A6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716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164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338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356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541</Words>
  <Characters>3085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Teachers - Dawn Basnett</dc:creator>
  <cp:keywords/>
  <dc:description/>
  <cp:lastModifiedBy>Teachers - Dawn Basnett</cp:lastModifiedBy>
  <cp:revision>1</cp:revision>
  <cp:lastPrinted>2026-01-28T13:19:00Z</cp:lastPrinted>
  <dcterms:created xsi:type="dcterms:W3CDTF">2026-01-28T13:01:00Z</dcterms:created>
  <dcterms:modified xsi:type="dcterms:W3CDTF">2026-01-28T13:19:00Z</dcterms:modified>
</cp:coreProperties>
</file>